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18" w:rsidRPr="00362734" w:rsidRDefault="00203818" w:rsidP="00203818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818" w:rsidRPr="00976361" w:rsidRDefault="00203818" w:rsidP="00203818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252"/>
      </w:tblGrid>
      <w:tr w:rsidR="00203818" w:rsidRPr="00976361" w:rsidTr="00002C38">
        <w:tc>
          <w:tcPr>
            <w:tcW w:w="10314" w:type="dxa"/>
            <w:gridSpan w:val="2"/>
            <w:shd w:val="clear" w:color="auto" w:fill="auto"/>
          </w:tcPr>
          <w:p w:rsidR="00203818" w:rsidRPr="00623DAB" w:rsidRDefault="00203818" w:rsidP="00002C38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203818" w:rsidRPr="00976361" w:rsidRDefault="00203818" w:rsidP="00002C3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203818" w:rsidRPr="003D6ABF" w:rsidTr="00002C38">
        <w:tc>
          <w:tcPr>
            <w:tcW w:w="6062" w:type="dxa"/>
          </w:tcPr>
          <w:p w:rsidR="00203818" w:rsidRPr="003D6ABF" w:rsidRDefault="00203818" w:rsidP="00002C38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203818" w:rsidRPr="003D6ABF" w:rsidRDefault="00203818" w:rsidP="00002C3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203818" w:rsidRPr="003D6ABF" w:rsidRDefault="00203818" w:rsidP="00002C38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203818" w:rsidRPr="003D6ABF" w:rsidRDefault="00203818" w:rsidP="00002C38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203818" w:rsidRPr="005E55E3" w:rsidRDefault="00AF26B9" w:rsidP="00203818">
      <w:pPr>
        <w:spacing w:line="288" w:lineRule="auto"/>
        <w:ind w:right="191"/>
        <w:rPr>
          <w:sz w:val="16"/>
          <w:szCs w:val="16"/>
        </w:rPr>
      </w:pPr>
      <w:r w:rsidRPr="00AF26B9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203818" w:rsidRPr="00F27A0C" w:rsidRDefault="00203818" w:rsidP="002038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Руководителям органов местного</w:t>
      </w:r>
    </w:p>
    <w:p w:rsidR="00203818" w:rsidRDefault="00AF26B9" w:rsidP="002038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3pt;margin-top:23.5pt;width:14.5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231.8pt;margin-top:23.5pt;width:0;height:12pt;z-index:251662336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-1.2pt;margin-top:23.5pt;width:14.5pt;height:0;z-index:25166336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-1.2pt;margin-top:23.5pt;width:.5pt;height:12pt;z-index:251664384" o:connectortype="straight"/>
        </w:pict>
      </w:r>
      <w:r w:rsidR="00203818">
        <w:rPr>
          <w:sz w:val="28"/>
          <w:szCs w:val="28"/>
        </w:rPr>
        <w:t>На № ___________   от ____________</w:t>
      </w:r>
      <w:r w:rsidR="00203818">
        <w:rPr>
          <w:sz w:val="28"/>
          <w:szCs w:val="28"/>
        </w:rPr>
        <w:tab/>
      </w:r>
      <w:r w:rsidR="00203818">
        <w:rPr>
          <w:sz w:val="28"/>
          <w:szCs w:val="28"/>
        </w:rPr>
        <w:tab/>
      </w:r>
      <w:r w:rsidR="00203818" w:rsidRPr="0030289C">
        <w:rPr>
          <w:sz w:val="28"/>
        </w:rPr>
        <w:t xml:space="preserve">самоуправления </w:t>
      </w:r>
      <w:proofErr w:type="gramStart"/>
      <w:r w:rsidR="00203818" w:rsidRPr="0030289C">
        <w:rPr>
          <w:sz w:val="28"/>
        </w:rPr>
        <w:t>муниципальных</w:t>
      </w:r>
      <w:proofErr w:type="gramEnd"/>
    </w:p>
    <w:p w:rsidR="00203818" w:rsidRDefault="00203818" w:rsidP="002038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образований Московской области,</w:t>
      </w:r>
    </w:p>
    <w:p w:rsidR="00203818" w:rsidRDefault="00203818" w:rsidP="002038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93E2E">
        <w:rPr>
          <w:sz w:val="28"/>
        </w:rPr>
        <w:t>осуществляющих</w:t>
      </w:r>
      <w:proofErr w:type="gramEnd"/>
      <w:r w:rsidR="00A93E2E">
        <w:rPr>
          <w:sz w:val="28"/>
        </w:rPr>
        <w:t xml:space="preserve"> управление</w:t>
      </w:r>
    </w:p>
    <w:p w:rsidR="00203818" w:rsidRPr="00A93E2E" w:rsidRDefault="00203818" w:rsidP="005221A7">
      <w:pPr>
        <w:spacing w:line="276" w:lineRule="auto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E2E">
        <w:rPr>
          <w:sz w:val="28"/>
          <w:szCs w:val="28"/>
        </w:rPr>
        <w:t xml:space="preserve">в </w:t>
      </w:r>
      <w:r w:rsidRPr="0030289C">
        <w:rPr>
          <w:sz w:val="28"/>
        </w:rPr>
        <w:t>сфере образования</w:t>
      </w:r>
    </w:p>
    <w:p w:rsidR="005221A7" w:rsidRPr="00A93E2E" w:rsidRDefault="005221A7" w:rsidP="005221A7">
      <w:pPr>
        <w:spacing w:line="276" w:lineRule="auto"/>
        <w:rPr>
          <w:sz w:val="28"/>
        </w:rPr>
      </w:pPr>
    </w:p>
    <w:p w:rsidR="005221A7" w:rsidRPr="00A93E2E" w:rsidRDefault="005221A7" w:rsidP="005221A7">
      <w:pPr>
        <w:spacing w:line="276" w:lineRule="auto"/>
        <w:rPr>
          <w:sz w:val="28"/>
        </w:rPr>
      </w:pPr>
    </w:p>
    <w:p w:rsidR="00203818" w:rsidRDefault="00F56C42" w:rsidP="005221A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письмом Федеральной службы по надзору в сфере образования и науки (Рос</w:t>
      </w:r>
      <w:r w:rsidR="00A93E2E">
        <w:rPr>
          <w:sz w:val="28"/>
        </w:rPr>
        <w:t>обрнадзор) от 17.01.2018 № 05–</w:t>
      </w:r>
      <w:r>
        <w:rPr>
          <w:sz w:val="28"/>
        </w:rPr>
        <w:t xml:space="preserve">11 </w:t>
      </w:r>
      <w:r w:rsidR="00203818">
        <w:rPr>
          <w:sz w:val="28"/>
        </w:rPr>
        <w:t>Министерство образования Московской области сообщает следующее.</w:t>
      </w:r>
    </w:p>
    <w:p w:rsidR="00203818" w:rsidRDefault="00F56C42" w:rsidP="005221A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Согласно приказу Министерства образования и науки Российской Федерации от 20.10.2017 № 1025 «О проведении мониторинга качества образования», приказу Министерства образования Московской области</w:t>
      </w:r>
      <w:r w:rsidR="005221A7" w:rsidRPr="005221A7">
        <w:rPr>
          <w:sz w:val="28"/>
        </w:rPr>
        <w:t xml:space="preserve"> </w:t>
      </w:r>
      <w:r>
        <w:rPr>
          <w:sz w:val="28"/>
        </w:rPr>
        <w:t xml:space="preserve">от 25.12.2017 № 3580 </w:t>
      </w:r>
      <w:r w:rsidR="005221A7" w:rsidRPr="005221A7">
        <w:rPr>
          <w:sz w:val="28"/>
        </w:rPr>
        <w:br/>
      </w:r>
      <w:r>
        <w:rPr>
          <w:sz w:val="28"/>
        </w:rPr>
        <w:t>«О пров</w:t>
      </w:r>
      <w:r w:rsidR="00301368">
        <w:rPr>
          <w:sz w:val="28"/>
        </w:rPr>
        <w:t>едении диагностических процедур</w:t>
      </w:r>
      <w:r w:rsidR="005221A7" w:rsidRPr="005221A7">
        <w:rPr>
          <w:sz w:val="28"/>
        </w:rPr>
        <w:t xml:space="preserve"> </w:t>
      </w:r>
      <w:r>
        <w:rPr>
          <w:sz w:val="28"/>
        </w:rPr>
        <w:t>в государственных общеобразовательных организациях</w:t>
      </w:r>
      <w:r w:rsidR="00301368">
        <w:rPr>
          <w:sz w:val="28"/>
        </w:rPr>
        <w:t xml:space="preserve"> Московской области</w:t>
      </w:r>
      <w:r w:rsidR="005221A7" w:rsidRPr="005221A7">
        <w:rPr>
          <w:sz w:val="28"/>
        </w:rPr>
        <w:t xml:space="preserve"> </w:t>
      </w:r>
      <w:r>
        <w:rPr>
          <w:sz w:val="28"/>
        </w:rPr>
        <w:t xml:space="preserve">и муниципальных общеобразовательных </w:t>
      </w:r>
      <w:proofErr w:type="gramStart"/>
      <w:r>
        <w:rPr>
          <w:sz w:val="28"/>
        </w:rPr>
        <w:t>ор</w:t>
      </w:r>
      <w:r w:rsidR="00301368">
        <w:rPr>
          <w:sz w:val="28"/>
        </w:rPr>
        <w:t>ганизациях в Московской области</w:t>
      </w:r>
      <w:r w:rsidR="005221A7" w:rsidRPr="005221A7">
        <w:rPr>
          <w:sz w:val="28"/>
        </w:rPr>
        <w:t xml:space="preserve"> </w:t>
      </w:r>
      <w:r>
        <w:rPr>
          <w:sz w:val="28"/>
        </w:rPr>
        <w:t>в 2018 году» в 2017-2018 учебном году будут проведены Всероссийские проверочные работы (далее - ВПР)</w:t>
      </w:r>
      <w:r w:rsidR="005221A7">
        <w:rPr>
          <w:sz w:val="28"/>
        </w:rPr>
        <w:t xml:space="preserve"> для обучающихся</w:t>
      </w:r>
      <w:r w:rsidR="005221A7" w:rsidRPr="005221A7">
        <w:rPr>
          <w:sz w:val="28"/>
        </w:rPr>
        <w:br/>
      </w:r>
      <w:r w:rsidR="005221A7">
        <w:rPr>
          <w:sz w:val="28"/>
        </w:rPr>
        <w:t>4-х</w:t>
      </w:r>
      <w:r w:rsidR="005221A7" w:rsidRPr="005221A7">
        <w:rPr>
          <w:sz w:val="28"/>
        </w:rPr>
        <w:t xml:space="preserve"> </w:t>
      </w:r>
      <w:r>
        <w:rPr>
          <w:sz w:val="28"/>
        </w:rPr>
        <w:t>и 5-х классов в штатном режиме, 6-х и 11-х классов по выбору образовательной организации.</w:t>
      </w:r>
      <w:proofErr w:type="gramEnd"/>
    </w:p>
    <w:p w:rsidR="00994870" w:rsidRDefault="00D46A28" w:rsidP="005221A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Решение об участии в проведении ВПР в 6</w:t>
      </w:r>
      <w:r w:rsidR="00301368" w:rsidRPr="00301368">
        <w:rPr>
          <w:sz w:val="28"/>
        </w:rPr>
        <w:t>-</w:t>
      </w:r>
      <w:r>
        <w:rPr>
          <w:sz w:val="28"/>
        </w:rPr>
        <w:t>х и 11-х классах принимает сама образовательная организация. ВПР не влекут за</w:t>
      </w:r>
      <w:r w:rsidR="00D01299">
        <w:rPr>
          <w:sz w:val="28"/>
        </w:rPr>
        <w:t xml:space="preserve"> собой дополнительной нагрузки,</w:t>
      </w:r>
      <w:r w:rsidR="00D01299" w:rsidRPr="00D01299">
        <w:rPr>
          <w:sz w:val="28"/>
        </w:rPr>
        <w:br/>
      </w:r>
      <w:r>
        <w:rPr>
          <w:sz w:val="28"/>
        </w:rPr>
        <w:t>так как они будут заменять традицион</w:t>
      </w:r>
      <w:r w:rsidR="00301368">
        <w:rPr>
          <w:sz w:val="28"/>
        </w:rPr>
        <w:t>ные итоговые контрольные работы</w:t>
      </w:r>
      <w:r w:rsidR="00D01299" w:rsidRPr="00D01299">
        <w:rPr>
          <w:sz w:val="28"/>
        </w:rPr>
        <w:br/>
      </w:r>
      <w:r>
        <w:rPr>
          <w:sz w:val="28"/>
        </w:rPr>
        <w:t>в образовательной организации</w:t>
      </w:r>
      <w:r w:rsidR="00994870">
        <w:rPr>
          <w:sz w:val="28"/>
        </w:rPr>
        <w:t>.</w:t>
      </w:r>
    </w:p>
    <w:p w:rsidR="00994870" w:rsidRDefault="00994870" w:rsidP="005221A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Министерство образования Московской области сообщает</w:t>
      </w:r>
      <w:r w:rsidR="00301368">
        <w:rPr>
          <w:sz w:val="28"/>
        </w:rPr>
        <w:t>, что ВПР</w:t>
      </w:r>
      <w:r w:rsidR="00301368" w:rsidRPr="00301368">
        <w:rPr>
          <w:sz w:val="28"/>
        </w:rPr>
        <w:br/>
      </w:r>
      <w:r>
        <w:rPr>
          <w:sz w:val="28"/>
        </w:rPr>
        <w:t xml:space="preserve">для обучающихся 11-х классов проводятся по иностранному языку, истории, физике, химии, биологии, географии для выпускников, которые не выбирают прохождение государственной итоговой аттестации </w:t>
      </w:r>
      <w:r w:rsidR="0037114D">
        <w:rPr>
          <w:sz w:val="28"/>
        </w:rPr>
        <w:t xml:space="preserve">(далее - ГИА) </w:t>
      </w:r>
      <w:r>
        <w:rPr>
          <w:sz w:val="28"/>
        </w:rPr>
        <w:t xml:space="preserve">в форме единого </w:t>
      </w:r>
      <w:r>
        <w:rPr>
          <w:sz w:val="28"/>
        </w:rPr>
        <w:lastRenderedPageBreak/>
        <w:t>государственного экзамена по соответствующему предмету.</w:t>
      </w:r>
    </w:p>
    <w:p w:rsidR="00FA597D" w:rsidRDefault="00FA597D" w:rsidP="005221A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ВПР не являются государственной итоговой аттестацией. Они проводятся  образовательной организацией самостоятельно, с использованием единых вариантов заданий для всей Российской Федерации,</w:t>
      </w:r>
      <w:r w:rsidR="0037114D">
        <w:rPr>
          <w:sz w:val="28"/>
        </w:rPr>
        <w:t xml:space="preserve"> единых подходов к проведению самих работ и их оцениванию,</w:t>
      </w:r>
      <w:r>
        <w:rPr>
          <w:sz w:val="28"/>
        </w:rPr>
        <w:t xml:space="preserve"> разрабатываемых на федеральном уровне, которые должны дать возможность оценить учебные результаты обучающихся по единым критериям.</w:t>
      </w:r>
    </w:p>
    <w:p w:rsidR="00301368" w:rsidRPr="00301368" w:rsidRDefault="00301368" w:rsidP="005221A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Образцы ВПР для обучающихся 11-х классов  размещены на официальном сайте </w:t>
      </w:r>
      <w:hyperlink r:id="rId11" w:history="1">
        <w:r w:rsidRPr="00452388">
          <w:rPr>
            <w:rStyle w:val="a5"/>
            <w:sz w:val="28"/>
          </w:rPr>
          <w:t>http://www.fipi.ru/vpr/</w:t>
        </w:r>
      </w:hyperlink>
      <w:r w:rsidRPr="00301368">
        <w:rPr>
          <w:sz w:val="28"/>
        </w:rPr>
        <w:t xml:space="preserve"> в сети “</w:t>
      </w:r>
      <w:r>
        <w:rPr>
          <w:sz w:val="28"/>
        </w:rPr>
        <w:t>Интернет».</w:t>
      </w:r>
    </w:p>
    <w:p w:rsidR="0037114D" w:rsidRDefault="0037114D" w:rsidP="005221A7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Задания и содержание ВПР для 11-х классов будут </w:t>
      </w:r>
      <w:r w:rsidR="00D01299">
        <w:rPr>
          <w:sz w:val="28"/>
        </w:rPr>
        <w:t>учитывать</w:t>
      </w:r>
      <w:r w:rsidR="00D01299" w:rsidRPr="00D01299">
        <w:rPr>
          <w:sz w:val="28"/>
        </w:rPr>
        <w:br/>
      </w:r>
      <w:r>
        <w:rPr>
          <w:sz w:val="28"/>
        </w:rPr>
        <w:t>то обстоятельство, что выполнять эти работы</w:t>
      </w:r>
      <w:r w:rsidR="00D01299">
        <w:rPr>
          <w:sz w:val="28"/>
        </w:rPr>
        <w:t xml:space="preserve"> предстоит выпускникам, которые</w:t>
      </w:r>
      <w:r w:rsidR="00D01299" w:rsidRPr="00D01299">
        <w:rPr>
          <w:sz w:val="28"/>
        </w:rPr>
        <w:br/>
      </w:r>
      <w:r>
        <w:rPr>
          <w:sz w:val="28"/>
        </w:rPr>
        <w:t>не выбирают данные предметы при прохождении ГИА</w:t>
      </w:r>
      <w:r w:rsidR="00D01299">
        <w:rPr>
          <w:sz w:val="28"/>
        </w:rPr>
        <w:t xml:space="preserve"> и будут включать</w:t>
      </w:r>
      <w:r w:rsidR="00D01299" w:rsidRPr="00D01299">
        <w:rPr>
          <w:sz w:val="28"/>
        </w:rPr>
        <w:br/>
      </w:r>
      <w:r>
        <w:rPr>
          <w:sz w:val="28"/>
        </w:rPr>
        <w:t>для проверки наиболее значимые элементы по каждому учебному предмету, важные для общего развития выпускника и его жизни в обществе, в том числе необходимые каждому гражданину знания по истории нашей страны,</w:t>
      </w:r>
      <w:r w:rsidR="00D01299">
        <w:rPr>
          <w:sz w:val="28"/>
        </w:rPr>
        <w:t xml:space="preserve"> представления о</w:t>
      </w:r>
      <w:proofErr w:type="gramEnd"/>
      <w:r w:rsidR="00D01299">
        <w:rPr>
          <w:sz w:val="28"/>
        </w:rPr>
        <w:t xml:space="preserve"> здоровом</w:t>
      </w:r>
      <w:r w:rsidR="00D01299" w:rsidRPr="00D01299">
        <w:rPr>
          <w:sz w:val="28"/>
        </w:rPr>
        <w:br/>
      </w:r>
      <w:r>
        <w:rPr>
          <w:sz w:val="28"/>
        </w:rPr>
        <w:t xml:space="preserve">и безопасном </w:t>
      </w:r>
      <w:proofErr w:type="gramStart"/>
      <w:r>
        <w:rPr>
          <w:sz w:val="28"/>
        </w:rPr>
        <w:t>образе</w:t>
      </w:r>
      <w:proofErr w:type="gramEnd"/>
      <w:r>
        <w:rPr>
          <w:sz w:val="28"/>
        </w:rPr>
        <w:t xml:space="preserve"> жизни, о природных процессах и явлениях.</w:t>
      </w:r>
    </w:p>
    <w:p w:rsidR="00A40D03" w:rsidRDefault="00A40D03" w:rsidP="00A40D0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Задания ВПР для обучающихся 4-х, 5-х, 6-х классов разрабатываются в строгом соответствии с Федеральными государственными образовательными стандартами.</w:t>
      </w:r>
    </w:p>
    <w:p w:rsidR="00F56C42" w:rsidRDefault="00994870" w:rsidP="005221A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Министерство</w:t>
      </w:r>
      <w:r w:rsidR="00F56C42">
        <w:rPr>
          <w:sz w:val="28"/>
        </w:rPr>
        <w:t xml:space="preserve"> образования Московской области</w:t>
      </w:r>
      <w:r w:rsidR="00D01299">
        <w:rPr>
          <w:sz w:val="28"/>
        </w:rPr>
        <w:t xml:space="preserve"> обращает внимание</w:t>
      </w:r>
      <w:r w:rsidR="00D01299" w:rsidRPr="00D01299">
        <w:rPr>
          <w:sz w:val="28"/>
        </w:rPr>
        <w:br/>
      </w:r>
      <w:r w:rsidR="00D46A28">
        <w:rPr>
          <w:sz w:val="28"/>
        </w:rPr>
        <w:t>на тот факт, что Рособрнадзор не рекомендует образовательным организациям использовать результаты ВПР для выставления годовых отметок обучающимся.</w:t>
      </w:r>
    </w:p>
    <w:p w:rsidR="0037114D" w:rsidRDefault="00B354DE" w:rsidP="005221A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Результаты выполнения ВПР могут быть полезны родителям (законным представителям) для определения образовательной траектории своих детей. Результаты могут быть также использованы для оценки уровня подготовки обучающихся по итогам окон</w:t>
      </w:r>
      <w:r w:rsidR="00D01299">
        <w:rPr>
          <w:sz w:val="28"/>
        </w:rPr>
        <w:t>чания основных этапов обучения,</w:t>
      </w:r>
      <w:r w:rsidR="00D01299" w:rsidRPr="00D01299">
        <w:rPr>
          <w:sz w:val="28"/>
        </w:rPr>
        <w:br/>
      </w:r>
      <w:r>
        <w:rPr>
          <w:sz w:val="28"/>
        </w:rPr>
        <w:t>для совершенствования преподавания учебных предметов в образовательных организациях Российской Федерации.</w:t>
      </w:r>
    </w:p>
    <w:p w:rsidR="00B354DE" w:rsidRDefault="00B354DE" w:rsidP="005221A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Одновременно информируем, что решении об участии в ВПР отдельного обучающегося принимается образовательной организацией.</w:t>
      </w:r>
    </w:p>
    <w:p w:rsidR="00F92B33" w:rsidRPr="00301368" w:rsidRDefault="00301368" w:rsidP="0086091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Регламент и график проведения ВПР, образцы проверочных работ и другие материалы по проведению ВПР размещены на официальном сайте </w:t>
      </w:r>
      <w:hyperlink r:id="rId12" w:history="1">
        <w:r w:rsidRPr="00452388">
          <w:rPr>
            <w:rStyle w:val="a5"/>
            <w:sz w:val="28"/>
          </w:rPr>
          <w:t>http://vpr.st</w:t>
        </w:r>
        <w:r w:rsidRPr="00452388">
          <w:rPr>
            <w:rStyle w:val="a5"/>
            <w:sz w:val="28"/>
            <w:lang w:val="en-US"/>
          </w:rPr>
          <w:t>a</w:t>
        </w:r>
        <w:proofErr w:type="spellStart"/>
        <w:r w:rsidRPr="00452388">
          <w:rPr>
            <w:rStyle w:val="a5"/>
            <w:sz w:val="28"/>
          </w:rPr>
          <w:t>tgrad</w:t>
        </w:r>
        <w:proofErr w:type="spellEnd"/>
        <w:r w:rsidRPr="00452388">
          <w:rPr>
            <w:rStyle w:val="a5"/>
            <w:sz w:val="28"/>
          </w:rPr>
          <w:t>.</w:t>
        </w:r>
        <w:r w:rsidRPr="00452388">
          <w:rPr>
            <w:rStyle w:val="a5"/>
            <w:sz w:val="28"/>
            <w:lang w:val="en-US"/>
          </w:rPr>
          <w:t>org</w:t>
        </w:r>
        <w:r w:rsidRPr="00301368">
          <w:rPr>
            <w:rStyle w:val="a5"/>
            <w:sz w:val="28"/>
          </w:rPr>
          <w:t>/</w:t>
        </w:r>
      </w:hyperlink>
      <w:r w:rsidRPr="00301368">
        <w:rPr>
          <w:sz w:val="28"/>
        </w:rPr>
        <w:t xml:space="preserve"> в сети “</w:t>
      </w:r>
      <w:r>
        <w:rPr>
          <w:sz w:val="28"/>
        </w:rPr>
        <w:t>Интернет».</w:t>
      </w:r>
    </w:p>
    <w:p w:rsidR="0067156A" w:rsidRDefault="004E7D46" w:rsidP="005221A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Руководителям органов местного самоуправления муниципальных образований Московской области, осуществляющих управление в сфере образования, необходимо:</w:t>
      </w:r>
    </w:p>
    <w:p w:rsidR="00952933" w:rsidRDefault="00952933" w:rsidP="005221A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возложить на муниципальных координаторов</w:t>
      </w:r>
      <w:r w:rsidRPr="00952933">
        <w:rPr>
          <w:sz w:val="28"/>
        </w:rPr>
        <w:t xml:space="preserve"> </w:t>
      </w:r>
      <w:r>
        <w:rPr>
          <w:sz w:val="28"/>
        </w:rPr>
        <w:t xml:space="preserve">по подготовке и проведению диагностических работ ответственность за достоверность, </w:t>
      </w:r>
      <w:r w:rsidR="00F92B33">
        <w:rPr>
          <w:sz w:val="28"/>
        </w:rPr>
        <w:t>полноту</w:t>
      </w:r>
      <w:r w:rsidR="00F92B33">
        <w:rPr>
          <w:sz w:val="28"/>
        </w:rPr>
        <w:br/>
      </w:r>
      <w:r>
        <w:rPr>
          <w:sz w:val="28"/>
        </w:rPr>
        <w:lastRenderedPageBreak/>
        <w:t>и своевременность информирования</w:t>
      </w:r>
      <w:r w:rsidR="00F92B33">
        <w:rPr>
          <w:sz w:val="28"/>
        </w:rPr>
        <w:t xml:space="preserve"> по вопросам подготовки и проведения ВПР</w:t>
      </w:r>
      <w:r>
        <w:rPr>
          <w:sz w:val="28"/>
        </w:rPr>
        <w:t xml:space="preserve"> руководителей образовательных организаций, участвующих в проведении </w:t>
      </w:r>
      <w:r w:rsidR="00F92B33">
        <w:rPr>
          <w:sz w:val="28"/>
        </w:rPr>
        <w:t>ВПР</w:t>
      </w:r>
      <w:r w:rsidR="00F92B33">
        <w:rPr>
          <w:sz w:val="28"/>
        </w:rPr>
        <w:br/>
      </w:r>
      <w:r>
        <w:rPr>
          <w:sz w:val="28"/>
        </w:rPr>
        <w:t>в 2017-2018 учебном году</w:t>
      </w:r>
      <w:r w:rsidR="00F92B33">
        <w:rPr>
          <w:sz w:val="28"/>
        </w:rPr>
        <w:t>;</w:t>
      </w:r>
    </w:p>
    <w:p w:rsidR="004E7D46" w:rsidRDefault="004E7D46" w:rsidP="005221A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организовать проведение разъяснительной работы с работниками, ответственными на уровне образовательных организаций за проведение ВПР</w:t>
      </w:r>
      <w:r w:rsidR="00F92B33">
        <w:rPr>
          <w:sz w:val="28"/>
        </w:rPr>
        <w:t>;</w:t>
      </w:r>
    </w:p>
    <w:p w:rsidR="00F92B33" w:rsidRDefault="00F92B33" w:rsidP="005221A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организовать работу по информированию обучающихся и их родителей (законных представителей) по вопросу участия в ВПР.</w:t>
      </w:r>
    </w:p>
    <w:p w:rsidR="00F92B33" w:rsidRDefault="00F92B33" w:rsidP="005221A7">
      <w:pPr>
        <w:spacing w:line="276" w:lineRule="auto"/>
        <w:ind w:firstLine="709"/>
        <w:jc w:val="both"/>
        <w:rPr>
          <w:sz w:val="28"/>
        </w:rPr>
      </w:pPr>
    </w:p>
    <w:p w:rsidR="00D01299" w:rsidRPr="00A93E2E" w:rsidRDefault="00D01299" w:rsidP="005221A7">
      <w:pPr>
        <w:spacing w:line="276" w:lineRule="auto"/>
        <w:ind w:firstLine="709"/>
        <w:jc w:val="both"/>
        <w:rPr>
          <w:sz w:val="28"/>
        </w:rPr>
      </w:pPr>
    </w:p>
    <w:p w:rsidR="00D01299" w:rsidRPr="00A93E2E" w:rsidRDefault="00D01299" w:rsidP="005221A7">
      <w:pPr>
        <w:spacing w:line="276" w:lineRule="auto"/>
        <w:ind w:firstLine="709"/>
        <w:jc w:val="both"/>
        <w:rPr>
          <w:sz w:val="28"/>
        </w:rPr>
      </w:pPr>
    </w:p>
    <w:p w:rsidR="00203818" w:rsidRDefault="00D01299" w:rsidP="00D01299">
      <w:pPr>
        <w:rPr>
          <w:sz w:val="28"/>
          <w:szCs w:val="28"/>
        </w:rPr>
      </w:pPr>
      <w:r w:rsidRPr="00D01299">
        <w:rPr>
          <w:sz w:val="28"/>
          <w:szCs w:val="28"/>
        </w:rPr>
        <w:t>Первый заместитель министра</w:t>
      </w:r>
      <w:r>
        <w:rPr>
          <w:sz w:val="28"/>
          <w:szCs w:val="28"/>
        </w:rPr>
        <w:t xml:space="preserve"> образования</w:t>
      </w:r>
    </w:p>
    <w:p w:rsidR="00D01299" w:rsidRPr="00D01299" w:rsidRDefault="00D01299" w:rsidP="00124315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124315">
        <w:rPr>
          <w:sz w:val="28"/>
          <w:szCs w:val="28"/>
        </w:rPr>
        <w:t xml:space="preserve">                                                                                   Н.Н. </w:t>
      </w:r>
      <w:proofErr w:type="spellStart"/>
      <w:r w:rsidR="00124315">
        <w:rPr>
          <w:sz w:val="28"/>
          <w:szCs w:val="28"/>
        </w:rPr>
        <w:t>Пантюхина</w:t>
      </w:r>
      <w:proofErr w:type="spellEnd"/>
    </w:p>
    <w:sectPr w:rsidR="00D01299" w:rsidRPr="00D01299" w:rsidSect="005221A7">
      <w:headerReference w:type="default" r:id="rId13"/>
      <w:pgSz w:w="12240" w:h="15840"/>
      <w:pgMar w:top="1134" w:right="680" w:bottom="1134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BC" w:rsidRDefault="00EC18BC" w:rsidP="008B4707">
      <w:r>
        <w:separator/>
      </w:r>
    </w:p>
  </w:endnote>
  <w:endnote w:type="continuationSeparator" w:id="0">
    <w:p w:rsidR="00EC18BC" w:rsidRDefault="00EC18BC" w:rsidP="008B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BC" w:rsidRDefault="00EC18BC" w:rsidP="008B4707">
      <w:r>
        <w:separator/>
      </w:r>
    </w:p>
  </w:footnote>
  <w:footnote w:type="continuationSeparator" w:id="0">
    <w:p w:rsidR="00EC18BC" w:rsidRDefault="00EC18BC" w:rsidP="008B4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69" w:rsidRDefault="00AF26B9">
    <w:pPr>
      <w:pStyle w:val="a3"/>
      <w:jc w:val="center"/>
    </w:pPr>
    <w:fldSimple w:instr=" PAGE   \* MERGEFORMAT ">
      <w:r w:rsidR="00860918">
        <w:rPr>
          <w:noProof/>
        </w:rPr>
        <w:t>2</w:t>
      </w:r>
    </w:fldSimple>
  </w:p>
  <w:p w:rsidR="00037569" w:rsidRDefault="000375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FDA"/>
    <w:multiLevelType w:val="hybridMultilevel"/>
    <w:tmpl w:val="58B0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818"/>
    <w:rsid w:val="00002C38"/>
    <w:rsid w:val="00007209"/>
    <w:rsid w:val="00030C42"/>
    <w:rsid w:val="00037569"/>
    <w:rsid w:val="00040481"/>
    <w:rsid w:val="000713A2"/>
    <w:rsid w:val="000D1EEA"/>
    <w:rsid w:val="000D3555"/>
    <w:rsid w:val="000D7281"/>
    <w:rsid w:val="000E45BA"/>
    <w:rsid w:val="000F1053"/>
    <w:rsid w:val="00105FB1"/>
    <w:rsid w:val="0011096F"/>
    <w:rsid w:val="00113D6F"/>
    <w:rsid w:val="00114A77"/>
    <w:rsid w:val="001236AF"/>
    <w:rsid w:val="00124315"/>
    <w:rsid w:val="0013613D"/>
    <w:rsid w:val="00137BAC"/>
    <w:rsid w:val="00137DEE"/>
    <w:rsid w:val="00162A90"/>
    <w:rsid w:val="001708F1"/>
    <w:rsid w:val="0018126C"/>
    <w:rsid w:val="00191735"/>
    <w:rsid w:val="001C4525"/>
    <w:rsid w:val="001C5ED1"/>
    <w:rsid w:val="001F11F6"/>
    <w:rsid w:val="0020117A"/>
    <w:rsid w:val="00203818"/>
    <w:rsid w:val="0024005B"/>
    <w:rsid w:val="002711B7"/>
    <w:rsid w:val="00285922"/>
    <w:rsid w:val="00294EFF"/>
    <w:rsid w:val="002D1BB4"/>
    <w:rsid w:val="00301368"/>
    <w:rsid w:val="00317E83"/>
    <w:rsid w:val="0037114D"/>
    <w:rsid w:val="003A26A7"/>
    <w:rsid w:val="003A3E9F"/>
    <w:rsid w:val="003A435C"/>
    <w:rsid w:val="003B4EE7"/>
    <w:rsid w:val="003C5E05"/>
    <w:rsid w:val="0040589F"/>
    <w:rsid w:val="0042434F"/>
    <w:rsid w:val="0042720D"/>
    <w:rsid w:val="00427DBD"/>
    <w:rsid w:val="00434E2E"/>
    <w:rsid w:val="0046139D"/>
    <w:rsid w:val="004A3CE7"/>
    <w:rsid w:val="004B7513"/>
    <w:rsid w:val="004D318E"/>
    <w:rsid w:val="004E7D46"/>
    <w:rsid w:val="004F5112"/>
    <w:rsid w:val="004F6B54"/>
    <w:rsid w:val="005116D6"/>
    <w:rsid w:val="005221A7"/>
    <w:rsid w:val="00530354"/>
    <w:rsid w:val="005453C2"/>
    <w:rsid w:val="005527E3"/>
    <w:rsid w:val="00567B8E"/>
    <w:rsid w:val="005808B4"/>
    <w:rsid w:val="00587B5A"/>
    <w:rsid w:val="005A2BED"/>
    <w:rsid w:val="005E1220"/>
    <w:rsid w:val="0060666E"/>
    <w:rsid w:val="006225E2"/>
    <w:rsid w:val="0062613D"/>
    <w:rsid w:val="006371ED"/>
    <w:rsid w:val="006461CF"/>
    <w:rsid w:val="00663C95"/>
    <w:rsid w:val="00671527"/>
    <w:rsid w:val="0067156A"/>
    <w:rsid w:val="00677F1A"/>
    <w:rsid w:val="00695A1A"/>
    <w:rsid w:val="006A2C35"/>
    <w:rsid w:val="006A3A7B"/>
    <w:rsid w:val="006C2F92"/>
    <w:rsid w:val="00723E2C"/>
    <w:rsid w:val="007609E9"/>
    <w:rsid w:val="007670B9"/>
    <w:rsid w:val="007740A8"/>
    <w:rsid w:val="007B2890"/>
    <w:rsid w:val="007C3BF0"/>
    <w:rsid w:val="007D39A2"/>
    <w:rsid w:val="007E169E"/>
    <w:rsid w:val="007F19E8"/>
    <w:rsid w:val="007F2E7D"/>
    <w:rsid w:val="00805886"/>
    <w:rsid w:val="008071DB"/>
    <w:rsid w:val="00860918"/>
    <w:rsid w:val="00866B53"/>
    <w:rsid w:val="0088492C"/>
    <w:rsid w:val="00897417"/>
    <w:rsid w:val="008B410A"/>
    <w:rsid w:val="008B4707"/>
    <w:rsid w:val="008C4D17"/>
    <w:rsid w:val="008E0A47"/>
    <w:rsid w:val="00910315"/>
    <w:rsid w:val="00937750"/>
    <w:rsid w:val="00952933"/>
    <w:rsid w:val="009637AC"/>
    <w:rsid w:val="00990B74"/>
    <w:rsid w:val="00994870"/>
    <w:rsid w:val="009A5144"/>
    <w:rsid w:val="009B2555"/>
    <w:rsid w:val="009C1126"/>
    <w:rsid w:val="009C1149"/>
    <w:rsid w:val="009D185F"/>
    <w:rsid w:val="009E6693"/>
    <w:rsid w:val="009F087F"/>
    <w:rsid w:val="009F68A2"/>
    <w:rsid w:val="00A40D03"/>
    <w:rsid w:val="00A609C4"/>
    <w:rsid w:val="00A61EED"/>
    <w:rsid w:val="00A63660"/>
    <w:rsid w:val="00A93E2E"/>
    <w:rsid w:val="00AA4BBE"/>
    <w:rsid w:val="00AA6588"/>
    <w:rsid w:val="00AC49D7"/>
    <w:rsid w:val="00AC4DE1"/>
    <w:rsid w:val="00AF26B9"/>
    <w:rsid w:val="00AF3073"/>
    <w:rsid w:val="00B113FD"/>
    <w:rsid w:val="00B14BE0"/>
    <w:rsid w:val="00B309BA"/>
    <w:rsid w:val="00B34C03"/>
    <w:rsid w:val="00B354DE"/>
    <w:rsid w:val="00B36EEC"/>
    <w:rsid w:val="00B54320"/>
    <w:rsid w:val="00B63126"/>
    <w:rsid w:val="00B8370E"/>
    <w:rsid w:val="00B83A54"/>
    <w:rsid w:val="00B845CC"/>
    <w:rsid w:val="00B8752B"/>
    <w:rsid w:val="00BB1603"/>
    <w:rsid w:val="00BC3030"/>
    <w:rsid w:val="00BE1341"/>
    <w:rsid w:val="00BF6863"/>
    <w:rsid w:val="00C2464C"/>
    <w:rsid w:val="00C439B3"/>
    <w:rsid w:val="00C57FC8"/>
    <w:rsid w:val="00C71259"/>
    <w:rsid w:val="00CA1C45"/>
    <w:rsid w:val="00CB4CFE"/>
    <w:rsid w:val="00CC2091"/>
    <w:rsid w:val="00CC4E9B"/>
    <w:rsid w:val="00CD688D"/>
    <w:rsid w:val="00CE32F2"/>
    <w:rsid w:val="00CF0F8C"/>
    <w:rsid w:val="00CF37AB"/>
    <w:rsid w:val="00CF4E49"/>
    <w:rsid w:val="00D01299"/>
    <w:rsid w:val="00D35D1F"/>
    <w:rsid w:val="00D4493D"/>
    <w:rsid w:val="00D46A28"/>
    <w:rsid w:val="00DB202B"/>
    <w:rsid w:val="00DC3A19"/>
    <w:rsid w:val="00DE1FA7"/>
    <w:rsid w:val="00DE3C2F"/>
    <w:rsid w:val="00E30F12"/>
    <w:rsid w:val="00E37FA1"/>
    <w:rsid w:val="00E6535C"/>
    <w:rsid w:val="00E90D45"/>
    <w:rsid w:val="00EA28DD"/>
    <w:rsid w:val="00EA672B"/>
    <w:rsid w:val="00EC18BC"/>
    <w:rsid w:val="00EC39A7"/>
    <w:rsid w:val="00ED1D65"/>
    <w:rsid w:val="00F17BBD"/>
    <w:rsid w:val="00F4617F"/>
    <w:rsid w:val="00F56C42"/>
    <w:rsid w:val="00F92B33"/>
    <w:rsid w:val="00F9442D"/>
    <w:rsid w:val="00FA04B4"/>
    <w:rsid w:val="00FA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1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185F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9D185F"/>
    <w:pPr>
      <w:keepNext/>
      <w:widowControl/>
      <w:autoSpaceDE/>
      <w:autoSpaceDN/>
      <w:adjustRightInd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9D185F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3818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rsid w:val="00203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3818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203818"/>
    <w:rPr>
      <w:color w:val="0000FF"/>
      <w:u w:val="single"/>
    </w:rPr>
  </w:style>
  <w:style w:type="table" w:styleId="a6">
    <w:name w:val="Table Grid"/>
    <w:basedOn w:val="a1"/>
    <w:uiPriority w:val="59"/>
    <w:rsid w:val="0020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3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D185F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185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185F"/>
    <w:rPr>
      <w:rFonts w:eastAsia="Times New Roman"/>
      <w:b/>
      <w:bCs/>
      <w:szCs w:val="24"/>
      <w:lang w:eastAsia="ru-RU"/>
    </w:rPr>
  </w:style>
  <w:style w:type="paragraph" w:styleId="a9">
    <w:name w:val="List Paragraph"/>
    <w:basedOn w:val="a"/>
    <w:uiPriority w:val="34"/>
    <w:qFormat/>
    <w:rsid w:val="009D185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pr.statgra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i.ru/vp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263EC-56D8-41E6-9FF8-962B15ED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Vanina</cp:lastModifiedBy>
  <cp:revision>9</cp:revision>
  <cp:lastPrinted>2018-01-29T14:41:00Z</cp:lastPrinted>
  <dcterms:created xsi:type="dcterms:W3CDTF">2018-01-29T12:55:00Z</dcterms:created>
  <dcterms:modified xsi:type="dcterms:W3CDTF">2018-01-29T15:00:00Z</dcterms:modified>
</cp:coreProperties>
</file>